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dTable5Dark-Accent6"/>
        <w:tblW w:w="15735" w:type="dxa"/>
        <w:tblInd w:w="-147" w:type="dxa"/>
        <w:tblLook w:val="04A0" w:firstRow="1" w:lastRow="0" w:firstColumn="1" w:lastColumn="0" w:noHBand="0" w:noVBand="1"/>
      </w:tblPr>
      <w:tblGrid>
        <w:gridCol w:w="1025"/>
        <w:gridCol w:w="960"/>
        <w:gridCol w:w="3779"/>
        <w:gridCol w:w="3450"/>
        <w:gridCol w:w="2724"/>
        <w:gridCol w:w="845"/>
        <w:gridCol w:w="2952"/>
      </w:tblGrid>
      <w:tr w:rsidR="00AF657C" w14:paraId="2E850A6C" w14:textId="77777777" w:rsidTr="00AF65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5" w:type="dxa"/>
            <w:vAlign w:val="center"/>
          </w:tcPr>
          <w:p w14:paraId="6FFC49A1" w14:textId="77777777" w:rsidR="00AF4252" w:rsidRPr="00AF657C" w:rsidRDefault="00AF4252" w:rsidP="00AF4252">
            <w:pPr>
              <w:spacing w:before="40" w:after="40"/>
              <w:jc w:val="center"/>
              <w:rPr>
                <w:color w:val="FFFFFF"/>
                <w:sz w:val="24"/>
              </w:rPr>
            </w:pPr>
          </w:p>
        </w:tc>
        <w:tc>
          <w:tcPr>
            <w:tcW w:w="960" w:type="dxa"/>
            <w:vAlign w:val="center"/>
          </w:tcPr>
          <w:p w14:paraId="3CA1871F" w14:textId="77777777" w:rsidR="00AF4252" w:rsidRPr="00AF4252" w:rsidRDefault="00AF4252" w:rsidP="00AF4252">
            <w:pPr>
              <w:spacing w:before="40" w:after="40"/>
              <w:jc w:val="center"/>
              <w:cnfStyle w:val="100000000000" w:firstRow="1" w:lastRow="0" w:firstColumn="0" w:lastColumn="0" w:oddVBand="0" w:evenVBand="0" w:oddHBand="0" w:evenHBand="0" w:firstRowFirstColumn="0" w:firstRowLastColumn="0" w:lastRowFirstColumn="0" w:lastRowLastColumn="0"/>
              <w:rPr>
                <w:color w:val="FFFFFF"/>
                <w:sz w:val="24"/>
                <w:szCs w:val="32"/>
              </w:rPr>
            </w:pPr>
          </w:p>
        </w:tc>
        <w:tc>
          <w:tcPr>
            <w:tcW w:w="3779" w:type="dxa"/>
            <w:vAlign w:val="center"/>
          </w:tcPr>
          <w:p w14:paraId="1BC97DD1" w14:textId="77777777" w:rsidR="00AF4252" w:rsidRPr="00AF4252" w:rsidRDefault="00AF4252" w:rsidP="00AF4252">
            <w:pPr>
              <w:spacing w:before="40" w:after="40"/>
              <w:jc w:val="center"/>
              <w:cnfStyle w:val="100000000000" w:firstRow="1" w:lastRow="0" w:firstColumn="0" w:lastColumn="0" w:oddVBand="0" w:evenVBand="0" w:oddHBand="0" w:evenHBand="0" w:firstRowFirstColumn="0" w:firstRowLastColumn="0" w:lastRowFirstColumn="0" w:lastRowLastColumn="0"/>
              <w:rPr>
                <w:color w:val="FFFFFF"/>
                <w:sz w:val="24"/>
                <w:szCs w:val="32"/>
              </w:rPr>
            </w:pPr>
          </w:p>
        </w:tc>
        <w:tc>
          <w:tcPr>
            <w:tcW w:w="3450" w:type="dxa"/>
            <w:vAlign w:val="center"/>
          </w:tcPr>
          <w:p w14:paraId="1BEC6E54" w14:textId="34731AC4" w:rsidR="00AF4252" w:rsidRPr="00AF4252" w:rsidRDefault="00AF4252" w:rsidP="00AF4252">
            <w:pPr>
              <w:spacing w:before="40" w:after="40"/>
              <w:jc w:val="center"/>
              <w:cnfStyle w:val="100000000000" w:firstRow="1" w:lastRow="0" w:firstColumn="0" w:lastColumn="0" w:oddVBand="0" w:evenVBand="0" w:oddHBand="0" w:evenHBand="0" w:firstRowFirstColumn="0" w:firstRowLastColumn="0" w:lastRowFirstColumn="0" w:lastRowLastColumn="0"/>
              <w:rPr>
                <w:color w:val="FFFFFF"/>
                <w:sz w:val="24"/>
                <w:szCs w:val="32"/>
              </w:rPr>
            </w:pPr>
            <w:r w:rsidRPr="00AF4252">
              <w:rPr>
                <w:color w:val="FFFFFF"/>
                <w:sz w:val="24"/>
                <w:szCs w:val="32"/>
              </w:rPr>
              <w:t>OBJECTIVES</w:t>
            </w:r>
          </w:p>
        </w:tc>
        <w:tc>
          <w:tcPr>
            <w:tcW w:w="2724" w:type="dxa"/>
            <w:vAlign w:val="center"/>
          </w:tcPr>
          <w:p w14:paraId="58515738" w14:textId="77777777" w:rsidR="00AF4252" w:rsidRPr="00AF4252" w:rsidRDefault="00AF4252" w:rsidP="00AF4252">
            <w:pPr>
              <w:spacing w:before="40" w:after="40"/>
              <w:jc w:val="center"/>
              <w:cnfStyle w:val="100000000000" w:firstRow="1" w:lastRow="0" w:firstColumn="0" w:lastColumn="0" w:oddVBand="0" w:evenVBand="0" w:oddHBand="0" w:evenHBand="0" w:firstRowFirstColumn="0" w:firstRowLastColumn="0" w:lastRowFirstColumn="0" w:lastRowLastColumn="0"/>
              <w:rPr>
                <w:color w:val="FFFFFF"/>
                <w:sz w:val="24"/>
                <w:szCs w:val="32"/>
              </w:rPr>
            </w:pPr>
          </w:p>
        </w:tc>
        <w:tc>
          <w:tcPr>
            <w:tcW w:w="845" w:type="dxa"/>
            <w:vAlign w:val="center"/>
          </w:tcPr>
          <w:p w14:paraId="438BDCDB" w14:textId="77777777" w:rsidR="00AF4252" w:rsidRPr="00AF4252" w:rsidRDefault="00AF4252" w:rsidP="00AF4252">
            <w:pPr>
              <w:spacing w:before="40" w:after="40"/>
              <w:jc w:val="center"/>
              <w:cnfStyle w:val="100000000000" w:firstRow="1" w:lastRow="0" w:firstColumn="0" w:lastColumn="0" w:oddVBand="0" w:evenVBand="0" w:oddHBand="0" w:evenHBand="0" w:firstRowFirstColumn="0" w:firstRowLastColumn="0" w:lastRowFirstColumn="0" w:lastRowLastColumn="0"/>
              <w:rPr>
                <w:color w:val="FFFFFF"/>
                <w:sz w:val="24"/>
                <w:szCs w:val="32"/>
              </w:rPr>
            </w:pPr>
          </w:p>
        </w:tc>
        <w:tc>
          <w:tcPr>
            <w:tcW w:w="2952" w:type="dxa"/>
            <w:vAlign w:val="center"/>
          </w:tcPr>
          <w:p w14:paraId="67A48B68" w14:textId="77777777" w:rsidR="00AF4252" w:rsidRPr="00AF4252" w:rsidRDefault="00AF4252" w:rsidP="00AF4252">
            <w:pPr>
              <w:spacing w:before="40" w:after="40"/>
              <w:jc w:val="center"/>
              <w:cnfStyle w:val="100000000000" w:firstRow="1" w:lastRow="0" w:firstColumn="0" w:lastColumn="0" w:oddVBand="0" w:evenVBand="0" w:oddHBand="0" w:evenHBand="0" w:firstRowFirstColumn="0" w:firstRowLastColumn="0" w:lastRowFirstColumn="0" w:lastRowLastColumn="0"/>
              <w:rPr>
                <w:color w:val="FFFFFF"/>
                <w:sz w:val="24"/>
                <w:szCs w:val="32"/>
              </w:rPr>
            </w:pPr>
          </w:p>
        </w:tc>
      </w:tr>
      <w:tr w:rsidR="00AF657C" w14:paraId="25ED609E" w14:textId="77777777" w:rsidTr="00AF65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5" w:type="dxa"/>
            <w:vAlign w:val="center"/>
          </w:tcPr>
          <w:p w14:paraId="4ABEF7ED" w14:textId="6B5CD6CE" w:rsidR="00B12032" w:rsidRPr="00AF657C" w:rsidRDefault="00B12032" w:rsidP="00AF4252">
            <w:pPr>
              <w:spacing w:before="40" w:after="40"/>
              <w:jc w:val="center"/>
              <w:rPr>
                <w:color w:val="FFFFFF"/>
                <w:sz w:val="24"/>
              </w:rPr>
            </w:pPr>
            <w:r w:rsidRPr="00AF657C">
              <w:rPr>
                <w:color w:val="FFFFFF"/>
                <w:sz w:val="24"/>
              </w:rPr>
              <w:t>Res</w:t>
            </w:r>
          </w:p>
        </w:tc>
        <w:tc>
          <w:tcPr>
            <w:tcW w:w="960" w:type="dxa"/>
            <w:shd w:val="clear" w:color="auto" w:fill="808080" w:themeFill="background1" w:themeFillShade="80"/>
            <w:vAlign w:val="center"/>
          </w:tcPr>
          <w:p w14:paraId="1B3A2CCC" w14:textId="58E33D1F" w:rsidR="00B12032" w:rsidRPr="00AF4252" w:rsidRDefault="00AF4252" w:rsidP="00AF4252">
            <w:pPr>
              <w:spacing w:before="40" w:after="40"/>
              <w:jc w:val="center"/>
              <w:cnfStyle w:val="000000100000" w:firstRow="0" w:lastRow="0" w:firstColumn="0" w:lastColumn="0" w:oddVBand="0" w:evenVBand="0" w:oddHBand="1" w:evenHBand="0" w:firstRowFirstColumn="0" w:firstRowLastColumn="0" w:lastRowFirstColumn="0" w:lastRowLastColumn="0"/>
              <w:rPr>
                <w:b/>
                <w:bCs/>
                <w:color w:val="FFFFFF"/>
                <w:sz w:val="24"/>
                <w:szCs w:val="32"/>
              </w:rPr>
            </w:pPr>
            <w:r w:rsidRPr="00AF4252">
              <w:rPr>
                <w:b/>
                <w:bCs/>
                <w:color w:val="FFFFFF"/>
                <w:sz w:val="24"/>
                <w:szCs w:val="32"/>
              </w:rPr>
              <w:t>1</w:t>
            </w:r>
          </w:p>
        </w:tc>
        <w:tc>
          <w:tcPr>
            <w:tcW w:w="3779" w:type="dxa"/>
            <w:shd w:val="clear" w:color="auto" w:fill="808080" w:themeFill="background1" w:themeFillShade="80"/>
            <w:vAlign w:val="center"/>
          </w:tcPr>
          <w:p w14:paraId="21D53E97" w14:textId="1E5FABA8" w:rsidR="00B12032" w:rsidRPr="00AF4252" w:rsidRDefault="00B12032" w:rsidP="00AF4252">
            <w:pPr>
              <w:spacing w:before="40" w:after="40"/>
              <w:jc w:val="center"/>
              <w:cnfStyle w:val="000000100000" w:firstRow="0" w:lastRow="0" w:firstColumn="0" w:lastColumn="0" w:oddVBand="0" w:evenVBand="0" w:oddHBand="1" w:evenHBand="0" w:firstRowFirstColumn="0" w:firstRowLastColumn="0" w:lastRowFirstColumn="0" w:lastRowLastColumn="0"/>
              <w:rPr>
                <w:b/>
                <w:bCs/>
                <w:color w:val="FFFFFF"/>
                <w:sz w:val="24"/>
                <w:szCs w:val="32"/>
              </w:rPr>
            </w:pPr>
            <w:r w:rsidRPr="00AF4252">
              <w:rPr>
                <w:b/>
                <w:bCs/>
                <w:color w:val="FFFFFF"/>
                <w:sz w:val="24"/>
                <w:szCs w:val="32"/>
              </w:rPr>
              <w:t>2</w:t>
            </w:r>
          </w:p>
        </w:tc>
        <w:tc>
          <w:tcPr>
            <w:tcW w:w="3450" w:type="dxa"/>
            <w:shd w:val="clear" w:color="auto" w:fill="808080" w:themeFill="background1" w:themeFillShade="80"/>
            <w:vAlign w:val="center"/>
          </w:tcPr>
          <w:p w14:paraId="0CCEEE57" w14:textId="5749189C" w:rsidR="00B12032" w:rsidRPr="00AF4252" w:rsidRDefault="00B12032" w:rsidP="00AF4252">
            <w:pPr>
              <w:spacing w:before="40" w:after="40"/>
              <w:jc w:val="center"/>
              <w:cnfStyle w:val="000000100000" w:firstRow="0" w:lastRow="0" w:firstColumn="0" w:lastColumn="0" w:oddVBand="0" w:evenVBand="0" w:oddHBand="1" w:evenHBand="0" w:firstRowFirstColumn="0" w:firstRowLastColumn="0" w:lastRowFirstColumn="0" w:lastRowLastColumn="0"/>
              <w:rPr>
                <w:b/>
                <w:bCs/>
                <w:color w:val="FFFFFF"/>
                <w:sz w:val="24"/>
                <w:szCs w:val="32"/>
              </w:rPr>
            </w:pPr>
            <w:r w:rsidRPr="00AF4252">
              <w:rPr>
                <w:b/>
                <w:bCs/>
                <w:color w:val="FFFFFF"/>
                <w:sz w:val="24"/>
                <w:szCs w:val="32"/>
              </w:rPr>
              <w:t>3</w:t>
            </w:r>
          </w:p>
        </w:tc>
        <w:tc>
          <w:tcPr>
            <w:tcW w:w="2724" w:type="dxa"/>
            <w:shd w:val="clear" w:color="auto" w:fill="808080" w:themeFill="background1" w:themeFillShade="80"/>
            <w:vAlign w:val="center"/>
          </w:tcPr>
          <w:p w14:paraId="799A3E04" w14:textId="787BE94B" w:rsidR="00B12032" w:rsidRPr="00AF4252" w:rsidRDefault="00AF4252" w:rsidP="00AF4252">
            <w:pPr>
              <w:spacing w:before="40" w:after="40"/>
              <w:jc w:val="center"/>
              <w:cnfStyle w:val="000000100000" w:firstRow="0" w:lastRow="0" w:firstColumn="0" w:lastColumn="0" w:oddVBand="0" w:evenVBand="0" w:oddHBand="1" w:evenHBand="0" w:firstRowFirstColumn="0" w:firstRowLastColumn="0" w:lastRowFirstColumn="0" w:lastRowLastColumn="0"/>
              <w:rPr>
                <w:b/>
                <w:bCs/>
                <w:color w:val="FFFFFF"/>
                <w:sz w:val="24"/>
                <w:szCs w:val="32"/>
              </w:rPr>
            </w:pPr>
            <w:r w:rsidRPr="00AF4252">
              <w:rPr>
                <w:b/>
                <w:bCs/>
                <w:color w:val="FFFFFF"/>
                <w:sz w:val="24"/>
                <w:szCs w:val="32"/>
              </w:rPr>
              <w:t>4</w:t>
            </w:r>
          </w:p>
        </w:tc>
        <w:tc>
          <w:tcPr>
            <w:tcW w:w="845" w:type="dxa"/>
            <w:shd w:val="clear" w:color="auto" w:fill="808080" w:themeFill="background1" w:themeFillShade="80"/>
            <w:vAlign w:val="center"/>
          </w:tcPr>
          <w:p w14:paraId="2D4A2B6C" w14:textId="709C9FE2" w:rsidR="00B12032" w:rsidRPr="00AF4252" w:rsidRDefault="00B12032" w:rsidP="00AF4252">
            <w:pPr>
              <w:spacing w:before="40" w:after="40"/>
              <w:jc w:val="center"/>
              <w:cnfStyle w:val="000000100000" w:firstRow="0" w:lastRow="0" w:firstColumn="0" w:lastColumn="0" w:oddVBand="0" w:evenVBand="0" w:oddHBand="1" w:evenHBand="0" w:firstRowFirstColumn="0" w:firstRowLastColumn="0" w:lastRowFirstColumn="0" w:lastRowLastColumn="0"/>
              <w:rPr>
                <w:b/>
                <w:bCs/>
                <w:color w:val="FFFFFF"/>
                <w:sz w:val="24"/>
                <w:szCs w:val="32"/>
              </w:rPr>
            </w:pPr>
            <w:r w:rsidRPr="00AF4252">
              <w:rPr>
                <w:b/>
                <w:bCs/>
                <w:color w:val="FFFFFF"/>
                <w:sz w:val="24"/>
                <w:szCs w:val="32"/>
              </w:rPr>
              <w:t>5</w:t>
            </w:r>
          </w:p>
        </w:tc>
        <w:tc>
          <w:tcPr>
            <w:tcW w:w="2952" w:type="dxa"/>
            <w:shd w:val="clear" w:color="auto" w:fill="808080" w:themeFill="background1" w:themeFillShade="80"/>
            <w:vAlign w:val="center"/>
          </w:tcPr>
          <w:p w14:paraId="11708D67" w14:textId="2A41FB94" w:rsidR="00B12032" w:rsidRPr="00AF4252" w:rsidRDefault="00B12032" w:rsidP="00AF4252">
            <w:pPr>
              <w:spacing w:before="40" w:after="40"/>
              <w:jc w:val="center"/>
              <w:cnfStyle w:val="000000100000" w:firstRow="0" w:lastRow="0" w:firstColumn="0" w:lastColumn="0" w:oddVBand="0" w:evenVBand="0" w:oddHBand="1" w:evenHBand="0" w:firstRowFirstColumn="0" w:firstRowLastColumn="0" w:lastRowFirstColumn="0" w:lastRowLastColumn="0"/>
              <w:rPr>
                <w:b/>
                <w:bCs/>
                <w:color w:val="FFFFFF"/>
                <w:sz w:val="24"/>
                <w:szCs w:val="32"/>
              </w:rPr>
            </w:pPr>
            <w:r w:rsidRPr="00AF4252">
              <w:rPr>
                <w:b/>
                <w:bCs/>
                <w:color w:val="FFFFFF"/>
                <w:sz w:val="24"/>
                <w:szCs w:val="32"/>
              </w:rPr>
              <w:t>6</w:t>
            </w:r>
          </w:p>
        </w:tc>
      </w:tr>
      <w:tr w:rsidR="00AF657C" w14:paraId="3A5454B5" w14:textId="77777777" w:rsidTr="00AF657C">
        <w:tc>
          <w:tcPr>
            <w:cnfStyle w:val="001000000000" w:firstRow="0" w:lastRow="0" w:firstColumn="1" w:lastColumn="0" w:oddVBand="0" w:evenVBand="0" w:oddHBand="0" w:evenHBand="0" w:firstRowFirstColumn="0" w:firstRowLastColumn="0" w:lastRowFirstColumn="0" w:lastRowLastColumn="0"/>
            <w:tcW w:w="1025" w:type="dxa"/>
          </w:tcPr>
          <w:p w14:paraId="1EA049B8" w14:textId="77777777" w:rsidR="00B12032" w:rsidRPr="00AF657C" w:rsidRDefault="00B12032" w:rsidP="00AF4252">
            <w:pPr>
              <w:numPr>
                <w:ilvl w:val="0"/>
                <w:numId w:val="1"/>
              </w:numPr>
              <w:spacing w:before="40" w:after="40"/>
              <w:rPr>
                <w:color w:val="FFFFFF"/>
                <w:sz w:val="24"/>
              </w:rPr>
            </w:pPr>
          </w:p>
        </w:tc>
        <w:tc>
          <w:tcPr>
            <w:tcW w:w="960" w:type="dxa"/>
          </w:tcPr>
          <w:p w14:paraId="0638D3CA" w14:textId="4B104AD1" w:rsidR="00B12032" w:rsidRPr="00AF657C" w:rsidRDefault="002D0717"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No impact</w:t>
            </w:r>
          </w:p>
        </w:tc>
        <w:tc>
          <w:tcPr>
            <w:tcW w:w="3779" w:type="dxa"/>
          </w:tcPr>
          <w:p w14:paraId="00F85D63"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B050"/>
                <w:szCs w:val="20"/>
              </w:rPr>
            </w:pPr>
            <w:r w:rsidRPr="00AF657C">
              <w:rPr>
                <w:rStyle w:val="Strong"/>
                <w:rFonts w:asciiTheme="minorHAnsi" w:hAnsiTheme="minorHAnsi" w:cstheme="minorHAnsi"/>
                <w:color w:val="00B050"/>
                <w:szCs w:val="20"/>
              </w:rPr>
              <w:t>Positive</w:t>
            </w:r>
          </w:p>
          <w:p w14:paraId="5B7E6456" w14:textId="77777777" w:rsidR="00B12032" w:rsidRPr="00AF657C" w:rsidRDefault="00B12032" w:rsidP="00AF657C">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xml:space="preserve">Yes, we believe that DCUSA Charging Objective 2 will be better facilitated. </w:t>
            </w:r>
          </w:p>
          <w:p w14:paraId="1ADC1D39" w14:textId="77777777" w:rsidR="00B12032" w:rsidRPr="00AF657C" w:rsidRDefault="00B12032" w:rsidP="00AF657C">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xml:space="preserve">DCP 266 achieves a better allocation of revenues between an LDNO and the host DNO because it is based on an allocation of total costs which is not affected by the incremental cost allocation approach applied in the CDCM. This should ensure an LDNO is able to receive the same margin as the host DNO’s </w:t>
            </w:r>
            <w:r w:rsidRPr="00AF657C">
              <w:rPr>
                <w:rFonts w:asciiTheme="minorHAnsi" w:hAnsiTheme="minorHAnsi" w:cstheme="minorHAnsi"/>
                <w:i/>
                <w:szCs w:val="20"/>
              </w:rPr>
              <w:t>notional</w:t>
            </w:r>
            <w:r w:rsidRPr="00AF657C">
              <w:rPr>
                <w:rFonts w:asciiTheme="minorHAnsi" w:hAnsiTheme="minorHAnsi" w:cstheme="minorHAnsi"/>
                <w:szCs w:val="20"/>
              </w:rPr>
              <w:t xml:space="preserve"> downstream business, and so promote competition in the distribution of electricity.</w:t>
            </w:r>
          </w:p>
          <w:p w14:paraId="5B7F0B94" w14:textId="02595E45" w:rsidR="006E7918"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DCP266 will also promote competition in the distribution of electricity by improving the predictability and reducing the level volatility observed in the absolute level of discount (p/kWh) received by LDNOs, as has been demonstrated by the Working Group analysis. LDNO discounts will be less affected by the volatility of all-the-way tariffs caused by the annual update to CDCM inputs and will also be protected from changes to the methodology for all-the-way CDCM tariffs.</w:t>
            </w:r>
          </w:p>
          <w:p w14:paraId="7B333BE7" w14:textId="77777777" w:rsidR="00AF4252" w:rsidRDefault="00AF425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B050"/>
                <w:szCs w:val="20"/>
              </w:rPr>
            </w:pPr>
          </w:p>
          <w:p w14:paraId="1F4113F2" w14:textId="77777777" w:rsidR="00AF657C" w:rsidRDefault="00AF657C"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color w:val="00B050"/>
              </w:rPr>
            </w:pPr>
          </w:p>
          <w:p w14:paraId="0485DECB" w14:textId="77777777" w:rsidR="00AF657C" w:rsidRDefault="00AF657C"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color w:val="00B050"/>
              </w:rPr>
            </w:pPr>
          </w:p>
          <w:p w14:paraId="667D14CE" w14:textId="77777777" w:rsidR="00AF657C" w:rsidRDefault="00AF657C"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color w:val="00B050"/>
              </w:rPr>
            </w:pPr>
          </w:p>
          <w:p w14:paraId="4D21ABD9" w14:textId="1EC0D376" w:rsidR="00AF657C" w:rsidRPr="00AF657C" w:rsidRDefault="00AF657C"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B050"/>
                <w:szCs w:val="20"/>
              </w:rPr>
            </w:pPr>
          </w:p>
        </w:tc>
        <w:tc>
          <w:tcPr>
            <w:tcW w:w="3450" w:type="dxa"/>
          </w:tcPr>
          <w:p w14:paraId="1FCA77E7" w14:textId="4D926A1C"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724" w:type="dxa"/>
          </w:tcPr>
          <w:p w14:paraId="3566AB1E"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845" w:type="dxa"/>
          </w:tcPr>
          <w:p w14:paraId="3EBF5B57"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952" w:type="dxa"/>
          </w:tcPr>
          <w:p w14:paraId="4E1FF059"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r>
      <w:tr w:rsidR="00AF657C" w14:paraId="704D72EB" w14:textId="77777777" w:rsidTr="00AF65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5" w:type="dxa"/>
          </w:tcPr>
          <w:p w14:paraId="50427D71" w14:textId="77777777" w:rsidR="00B12032" w:rsidRPr="00AF657C" w:rsidRDefault="00B12032" w:rsidP="00AF657C">
            <w:pPr>
              <w:numPr>
                <w:ilvl w:val="0"/>
                <w:numId w:val="1"/>
              </w:numPr>
              <w:spacing w:before="0" w:after="40"/>
              <w:rPr>
                <w:color w:val="FFFFFF"/>
                <w:sz w:val="24"/>
              </w:rPr>
            </w:pPr>
          </w:p>
        </w:tc>
        <w:tc>
          <w:tcPr>
            <w:tcW w:w="960" w:type="dxa"/>
          </w:tcPr>
          <w:p w14:paraId="21D34227"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3779" w:type="dxa"/>
          </w:tcPr>
          <w:p w14:paraId="57414AD7"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7EE0FC7C"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Cs w:val="20"/>
              </w:rPr>
            </w:pPr>
            <w:r w:rsidRPr="00AF657C">
              <w:rPr>
                <w:rFonts w:asciiTheme="minorHAnsi" w:eastAsia="Calibri" w:hAnsiTheme="minorHAnsi" w:cstheme="minorHAnsi"/>
                <w:szCs w:val="20"/>
              </w:rPr>
              <w:lastRenderedPageBreak/>
              <w:t xml:space="preserve">The Second Consultation states that </w:t>
            </w:r>
            <w:r w:rsidRPr="00AF657C">
              <w:rPr>
                <w:rFonts w:asciiTheme="minorHAnsi" w:eastAsia="Calibri" w:hAnsiTheme="minorHAnsi" w:cstheme="minorHAnsi"/>
                <w:i/>
                <w:szCs w:val="20"/>
              </w:rPr>
              <w:t>“The Proposer believes that DCUSA Charging Objective 2 will be better facilitated”</w:t>
            </w:r>
            <w:r w:rsidRPr="00AF657C">
              <w:rPr>
                <w:rFonts w:asciiTheme="minorHAnsi" w:eastAsia="Calibri" w:hAnsiTheme="minorHAnsi" w:cstheme="minorHAnsi"/>
                <w:i/>
                <w:szCs w:val="20"/>
                <w:vertAlign w:val="superscript"/>
              </w:rPr>
              <w:footnoteReference w:id="1"/>
            </w:r>
            <w:r w:rsidRPr="00AF657C">
              <w:rPr>
                <w:rFonts w:asciiTheme="minorHAnsi" w:eastAsia="Calibri" w:hAnsiTheme="minorHAnsi" w:cstheme="minorHAnsi"/>
                <w:szCs w:val="20"/>
              </w:rPr>
              <w:t xml:space="preserve"> for the following reasons: </w:t>
            </w:r>
          </w:p>
          <w:p w14:paraId="18430DD8" w14:textId="77777777" w:rsidR="00B12032" w:rsidRPr="00AF657C" w:rsidRDefault="00B12032" w:rsidP="00AF657C">
            <w:pPr>
              <w:numPr>
                <w:ilvl w:val="0"/>
                <w:numId w:val="2"/>
              </w:numPr>
              <w:spacing w:before="0" w:after="0" w:line="276" w:lineRule="auto"/>
              <w:ind w:left="374" w:hanging="284"/>
              <w:contextualSpacing/>
              <w:jc w:val="both"/>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i/>
                <w:szCs w:val="20"/>
              </w:rPr>
            </w:pPr>
            <w:r w:rsidRPr="00AF657C">
              <w:rPr>
                <w:rFonts w:asciiTheme="minorHAnsi" w:eastAsia="Calibri" w:hAnsiTheme="minorHAnsi" w:cstheme="minorHAnsi"/>
                <w:i/>
                <w:szCs w:val="20"/>
              </w:rPr>
              <w:t xml:space="preserve">“by reducing or removing the current distortion in the absolute level of total avoided cost discount received by LDNOs”. </w:t>
            </w:r>
          </w:p>
          <w:p w14:paraId="5F76E76A"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Cs w:val="20"/>
              </w:rPr>
            </w:pPr>
            <w:r w:rsidRPr="00AF657C">
              <w:rPr>
                <w:rFonts w:asciiTheme="minorHAnsi" w:eastAsia="Calibri" w:hAnsiTheme="minorHAnsi" w:cstheme="minorHAnsi"/>
                <w:szCs w:val="20"/>
              </w:rPr>
              <w:t xml:space="preserve">We agree that removal of a distortion could better facilitate competition. But the nature of the alleged defect / distortion has not been articulated since the issue was first raised in 2016. The Second Consultation describes the operation of the current CDCM and the impact of DCP 266, but at no point has the proposer stated why it considers the current approach does not result in a reasonable allocation of total cost - contrary to Ofgem’s and the DNOs’ decision that it does. It would be unreasonable for the Working Group to conclude that DCUSA Charging Objective 2 is better facilitated by removal of a defect that: (a) has not been shown to exist; (b) if it does exist, has not been shown to have a distortionary effect on competition. </w:t>
            </w:r>
          </w:p>
          <w:p w14:paraId="6F98C671" w14:textId="77777777" w:rsidR="00B12032" w:rsidRPr="00AF657C" w:rsidRDefault="00B12032" w:rsidP="00AF657C">
            <w:pPr>
              <w:numPr>
                <w:ilvl w:val="0"/>
                <w:numId w:val="2"/>
              </w:numPr>
              <w:spacing w:before="0" w:after="0" w:line="276" w:lineRule="auto"/>
              <w:ind w:left="374" w:hanging="284"/>
              <w:contextualSpacing/>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i/>
                <w:szCs w:val="20"/>
              </w:rPr>
            </w:pPr>
            <w:r w:rsidRPr="00AF657C">
              <w:rPr>
                <w:rFonts w:asciiTheme="minorHAnsi" w:eastAsia="Calibri" w:hAnsiTheme="minorHAnsi" w:cstheme="minorHAnsi"/>
                <w:i/>
                <w:szCs w:val="20"/>
              </w:rPr>
              <w:t xml:space="preserve">“by ensuring that the p/kWh discounts received by LDNOs remains aligned with the absolute level of avoided costs calculated in the PCDM, this change will promote competition in the distribution of electricity”.  </w:t>
            </w:r>
          </w:p>
          <w:p w14:paraId="5301BD55"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Cs w:val="20"/>
              </w:rPr>
            </w:pPr>
            <w:r w:rsidRPr="00AF657C">
              <w:rPr>
                <w:rFonts w:asciiTheme="minorHAnsi" w:eastAsia="Calibri" w:hAnsiTheme="minorHAnsi" w:cstheme="minorHAnsi"/>
                <w:szCs w:val="20"/>
              </w:rPr>
              <w:lastRenderedPageBreak/>
              <w:t>No reason is given as to why this change would promote competition per se; we therefore assume that this relates back to the removal of the alleged defect. Again, it would be unreasonable for the Working Group to conclude that DCUSA Charging Objective 2 is better facilitated by removal of a defect that: (a) has not been shown to exist; (b) if it does exist, has not been shown to have a distortionary effect on competition. If this does not relate back to removal of the alleged defect, some explanation needs to be provided as to why this change, by itself, would promote competition.</w:t>
            </w:r>
          </w:p>
          <w:p w14:paraId="04C94F75" w14:textId="77777777" w:rsidR="00B12032" w:rsidRPr="00AF657C" w:rsidRDefault="00B12032" w:rsidP="00AF657C">
            <w:pPr>
              <w:numPr>
                <w:ilvl w:val="0"/>
                <w:numId w:val="2"/>
              </w:numPr>
              <w:spacing w:before="0" w:after="0" w:line="276" w:lineRule="auto"/>
              <w:ind w:left="374" w:hanging="284"/>
              <w:contextualSpacing/>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i/>
                <w:szCs w:val="20"/>
              </w:rPr>
            </w:pPr>
            <w:r w:rsidRPr="00AF657C">
              <w:rPr>
                <w:rFonts w:asciiTheme="minorHAnsi" w:eastAsia="Calibri" w:hAnsiTheme="minorHAnsi" w:cstheme="minorHAnsi"/>
                <w:i/>
                <w:szCs w:val="20"/>
              </w:rPr>
              <w:t xml:space="preserve">“The Proposer believes the absolute level of discount (p/kWh) received by LDNOs </w:t>
            </w:r>
            <w:r w:rsidRPr="00AF657C">
              <w:rPr>
                <w:rFonts w:asciiTheme="minorHAnsi" w:eastAsia="Calibri" w:hAnsiTheme="minorHAnsi" w:cstheme="minorHAnsi"/>
                <w:szCs w:val="20"/>
              </w:rPr>
              <w:t>[under DCP 266]</w:t>
            </w:r>
            <w:r w:rsidRPr="00AF657C">
              <w:rPr>
                <w:rFonts w:asciiTheme="minorHAnsi" w:eastAsia="Calibri" w:hAnsiTheme="minorHAnsi" w:cstheme="minorHAnsi"/>
                <w:i/>
                <w:szCs w:val="20"/>
              </w:rPr>
              <w:t xml:space="preserve"> is also likely to be more stable and predictable since it will be protected from the impact of any changes to the methodology for all-the-way CDCM tariffs, which will also promote competition in the distribution of electricity”.</w:t>
            </w:r>
          </w:p>
          <w:p w14:paraId="155063D0" w14:textId="778ECC3A" w:rsid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Cs w:val="20"/>
              </w:rPr>
            </w:pPr>
            <w:r w:rsidRPr="00AF657C">
              <w:rPr>
                <w:rFonts w:asciiTheme="minorHAnsi" w:eastAsia="Calibri" w:hAnsiTheme="minorHAnsi" w:cstheme="minorHAnsi"/>
                <w:szCs w:val="20"/>
              </w:rPr>
              <w:t xml:space="preserve">This suggests that the one benefit that does not rely on the existence of a defect is merely </w:t>
            </w:r>
            <w:r w:rsidRPr="00AF657C">
              <w:rPr>
                <w:rFonts w:asciiTheme="minorHAnsi" w:eastAsia="Calibri" w:hAnsiTheme="minorHAnsi" w:cstheme="minorHAnsi"/>
                <w:i/>
                <w:szCs w:val="20"/>
              </w:rPr>
              <w:t>“likely”</w:t>
            </w:r>
            <w:r w:rsidRPr="00AF657C">
              <w:rPr>
                <w:rFonts w:asciiTheme="minorHAnsi" w:eastAsia="Calibri" w:hAnsiTheme="minorHAnsi" w:cstheme="minorHAnsi"/>
                <w:szCs w:val="20"/>
              </w:rPr>
              <w:t xml:space="preserve">. We do not consider that a </w:t>
            </w:r>
            <w:r w:rsidRPr="00AF657C">
              <w:rPr>
                <w:rFonts w:asciiTheme="minorHAnsi" w:eastAsia="Calibri" w:hAnsiTheme="minorHAnsi" w:cstheme="minorHAnsi"/>
                <w:i/>
                <w:szCs w:val="20"/>
              </w:rPr>
              <w:t>“likely”</w:t>
            </w:r>
            <w:r w:rsidRPr="00AF657C">
              <w:rPr>
                <w:rFonts w:asciiTheme="minorHAnsi" w:eastAsia="Calibri" w:hAnsiTheme="minorHAnsi" w:cstheme="minorHAnsi"/>
                <w:szCs w:val="20"/>
              </w:rPr>
              <w:t xml:space="preserve"> increase in stability and predictability is </w:t>
            </w:r>
            <w:proofErr w:type="gramStart"/>
            <w:r w:rsidRPr="00AF657C">
              <w:rPr>
                <w:rFonts w:asciiTheme="minorHAnsi" w:eastAsia="Calibri" w:hAnsiTheme="minorHAnsi" w:cstheme="minorHAnsi"/>
                <w:szCs w:val="20"/>
              </w:rPr>
              <w:t>sufficient</w:t>
            </w:r>
            <w:proofErr w:type="gramEnd"/>
            <w:r w:rsidRPr="00AF657C">
              <w:rPr>
                <w:rFonts w:asciiTheme="minorHAnsi" w:eastAsia="Calibri" w:hAnsiTheme="minorHAnsi" w:cstheme="minorHAnsi"/>
                <w:szCs w:val="20"/>
              </w:rPr>
              <w:t xml:space="preserve"> to justify the Proposer’s claim that DCP 266 will promote competition</w:t>
            </w:r>
            <w:r w:rsidR="00AF4252" w:rsidRPr="00AF657C">
              <w:rPr>
                <w:rFonts w:asciiTheme="minorHAnsi" w:eastAsia="Calibri" w:hAnsiTheme="minorHAnsi" w:cstheme="minorHAnsi"/>
                <w:szCs w:val="20"/>
              </w:rPr>
              <w:t>.</w:t>
            </w:r>
            <w:r w:rsidR="00AF657C">
              <w:rPr>
                <w:rFonts w:asciiTheme="minorHAnsi" w:eastAsia="Calibri" w:hAnsiTheme="minorHAnsi" w:cstheme="minorHAnsi"/>
                <w:szCs w:val="20"/>
              </w:rPr>
              <w:t xml:space="preserve">  </w:t>
            </w:r>
          </w:p>
          <w:p w14:paraId="3C3DBB97" w14:textId="275266B3" w:rsidR="00AF657C" w:rsidRDefault="00AF657C"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Cs w:val="20"/>
              </w:rPr>
            </w:pPr>
          </w:p>
          <w:p w14:paraId="1F3AA883" w14:textId="285F6802" w:rsidR="00AF657C" w:rsidRDefault="00AF657C"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Cs w:val="20"/>
              </w:rPr>
            </w:pPr>
          </w:p>
          <w:p w14:paraId="6F25D3F7" w14:textId="77777777" w:rsidR="00AF657C" w:rsidRDefault="00AF657C"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Cs w:val="20"/>
              </w:rPr>
            </w:pPr>
          </w:p>
          <w:p w14:paraId="409D8D70" w14:textId="25A71153" w:rsidR="00AF657C" w:rsidRPr="00AF657C" w:rsidRDefault="00AF657C" w:rsidP="00AF657C">
            <w:pPr>
              <w:spacing w:before="0" w:after="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eastAsia="Calibri" w:hAnsiTheme="minorHAnsi" w:cstheme="minorHAnsi"/>
                <w:b w:val="0"/>
                <w:bCs w:val="0"/>
                <w:szCs w:val="20"/>
              </w:rPr>
            </w:pPr>
          </w:p>
        </w:tc>
        <w:tc>
          <w:tcPr>
            <w:tcW w:w="3450" w:type="dxa"/>
          </w:tcPr>
          <w:p w14:paraId="21689BB5"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lastRenderedPageBreak/>
              <w:t>Negative</w:t>
            </w:r>
          </w:p>
          <w:p w14:paraId="7747CF29" w14:textId="452A2108"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Fonts w:asciiTheme="minorHAnsi" w:eastAsia="Calibri" w:hAnsiTheme="minorHAnsi" w:cstheme="minorHAnsi"/>
                <w:szCs w:val="20"/>
              </w:rPr>
              <w:lastRenderedPageBreak/>
              <w:t xml:space="preserve">We also note that the Working Group does not consider the proposal better facilitates DCUSA Charging Objective 3 – </w:t>
            </w:r>
            <w:proofErr w:type="spellStart"/>
            <w:r w:rsidRPr="00AF657C">
              <w:rPr>
                <w:rFonts w:asciiTheme="minorHAnsi" w:eastAsia="Calibri" w:hAnsiTheme="minorHAnsi" w:cstheme="minorHAnsi"/>
                <w:szCs w:val="20"/>
              </w:rPr>
              <w:t>ie</w:t>
            </w:r>
            <w:proofErr w:type="spellEnd"/>
            <w:r w:rsidRPr="00AF657C">
              <w:rPr>
                <w:rFonts w:asciiTheme="minorHAnsi" w:eastAsia="Calibri" w:hAnsiTheme="minorHAnsi" w:cstheme="minorHAnsi"/>
                <w:szCs w:val="20"/>
              </w:rPr>
              <w:t>. it does not consider (or at least there was no consensus) that DCP 266 improves upon the status quo in relation to the cost reflectivity of boundary charges. We therefore have significant doubts regarding the Proposer’s assertion that DCP 266 will provide a better allocation of costs between the DNO and LDNO (and therefore, in the Proposer’s view, enhance competition) given that this view does not appear to be shared by a majority of the Working Group that developed the proposal.</w:t>
            </w:r>
          </w:p>
        </w:tc>
        <w:tc>
          <w:tcPr>
            <w:tcW w:w="2724" w:type="dxa"/>
          </w:tcPr>
          <w:p w14:paraId="18E3510E"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lastRenderedPageBreak/>
              <w:t>N/A</w:t>
            </w:r>
          </w:p>
        </w:tc>
        <w:tc>
          <w:tcPr>
            <w:tcW w:w="845" w:type="dxa"/>
          </w:tcPr>
          <w:p w14:paraId="63A954FC"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952" w:type="dxa"/>
          </w:tcPr>
          <w:p w14:paraId="722E2BA6"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r>
      <w:tr w:rsidR="00AF657C" w14:paraId="4DC0242B" w14:textId="77777777" w:rsidTr="00AF657C">
        <w:tc>
          <w:tcPr>
            <w:cnfStyle w:val="001000000000" w:firstRow="0" w:lastRow="0" w:firstColumn="1" w:lastColumn="0" w:oddVBand="0" w:evenVBand="0" w:oddHBand="0" w:evenHBand="0" w:firstRowFirstColumn="0" w:firstRowLastColumn="0" w:lastRowFirstColumn="0" w:lastRowLastColumn="0"/>
            <w:tcW w:w="1025" w:type="dxa"/>
          </w:tcPr>
          <w:p w14:paraId="663E85B3" w14:textId="77777777" w:rsidR="00B12032" w:rsidRPr="00AF657C" w:rsidRDefault="00B12032" w:rsidP="00AF657C">
            <w:pPr>
              <w:numPr>
                <w:ilvl w:val="0"/>
                <w:numId w:val="1"/>
              </w:numPr>
              <w:spacing w:before="0" w:after="40"/>
              <w:rPr>
                <w:color w:val="FFFFFF"/>
                <w:sz w:val="24"/>
              </w:rPr>
            </w:pPr>
          </w:p>
        </w:tc>
        <w:tc>
          <w:tcPr>
            <w:tcW w:w="960" w:type="dxa"/>
          </w:tcPr>
          <w:p w14:paraId="079C0643" w14:textId="77777777"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3779" w:type="dxa"/>
          </w:tcPr>
          <w:p w14:paraId="35CBDF94" w14:textId="77777777"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694CFF23"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Compared to the current methodology EAN does not agree that the DCUSA Charging Objectives are better facilitated by the implementation of DCP266 and are instead negatively impacted.</w:t>
            </w:r>
          </w:p>
          <w:p w14:paraId="49E4E1C4"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u w:val="single"/>
              </w:rPr>
              <w:t>Objective 2 – Negatively Impacted</w:t>
            </w:r>
          </w:p>
          <w:p w14:paraId="6CB6064D"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DCP266 would ignore PCDM incentive revenues allowed by Ofgem in relation to the costs of the DNO’s core business of distributing electricity, thereby creating distortion.</w:t>
            </w:r>
          </w:p>
          <w:p w14:paraId="1E1C999B"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DCP266 would lead to excessive differences between IDNO and DNO charges for the same service and create unfair market conditions for both parties. Customers would negatively be impacted by their options thereby degrading the competitivity of the market.</w:t>
            </w:r>
          </w:p>
          <w:p w14:paraId="07A8F0D7" w14:textId="5F10CBD1" w:rsidR="006E7918"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r w:rsidRPr="00AF657C">
              <w:rPr>
                <w:rFonts w:asciiTheme="minorHAnsi" w:hAnsiTheme="minorHAnsi" w:cstheme="minorHAnsi"/>
                <w:szCs w:val="20"/>
              </w:rPr>
              <w:t>DCP266 would unduly impact charging arrangements to a significant extent, creating market volatility and erosion of stability. Financing costs of LDNOs would be raised unjustifiably and create unnecessary uncertainty in investments.</w:t>
            </w:r>
          </w:p>
        </w:tc>
        <w:tc>
          <w:tcPr>
            <w:tcW w:w="3450" w:type="dxa"/>
          </w:tcPr>
          <w:p w14:paraId="0B270023" w14:textId="77777777"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723CFE7A"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u w:val="single"/>
              </w:rPr>
              <w:t>DCUSA Charging Objective 3 – Negatively Impacted</w:t>
            </w:r>
          </w:p>
          <w:p w14:paraId="28FB7E44"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xml:space="preserve">The choice of data sources within DCP266 is inconsistent as certain items are derived from older sources. This difference may create unintentional skewing as each dataset reflects the time period it relates to and the associated technological, societal, and socioeconomic factors. Although the current methodology utilises an outdated dataset it is consistent in that method and hence these factors are normalised within the values. </w:t>
            </w:r>
          </w:p>
          <w:p w14:paraId="5327B890"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DCP266 would drastically increase the circumstance in which the discount percentage 100% cap is applied by a factor of approximately 20.</w:t>
            </w:r>
          </w:p>
          <w:p w14:paraId="772C19EE" w14:textId="54BA53A0"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724" w:type="dxa"/>
          </w:tcPr>
          <w:p w14:paraId="666E2464" w14:textId="77777777"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2A77066B"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u w:val="single"/>
              </w:rPr>
            </w:pPr>
            <w:r w:rsidRPr="00AF657C">
              <w:rPr>
                <w:rFonts w:asciiTheme="minorHAnsi" w:hAnsiTheme="minorHAnsi" w:cstheme="minorHAnsi"/>
                <w:szCs w:val="20"/>
                <w:u w:val="single"/>
              </w:rPr>
              <w:t>DCUSA Charging Objective 4 – Negatively Impacted</w:t>
            </w:r>
          </w:p>
          <w:p w14:paraId="333DF48A"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DCP266 would create an additional problem which does not exist in the current methodology. Due to its sensitivity to user volumes forecasts for existing tariffs which possess inherent difficulty would create undue uncertainties. For newer tariffs a volatility would be introduced.</w:t>
            </w:r>
          </w:p>
          <w:p w14:paraId="71EBB7A5" w14:textId="200477A1"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p>
        </w:tc>
        <w:tc>
          <w:tcPr>
            <w:tcW w:w="845" w:type="dxa"/>
          </w:tcPr>
          <w:p w14:paraId="7AF11C44" w14:textId="77777777"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952" w:type="dxa"/>
          </w:tcPr>
          <w:p w14:paraId="7C1D0A09" w14:textId="77777777"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0116E2D3" w14:textId="77777777" w:rsidR="00B12032" w:rsidRPr="00AF657C" w:rsidRDefault="00B12032" w:rsidP="00AF657C">
            <w:pPr>
              <w:spacing w:before="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u w:val="single"/>
              </w:rPr>
              <w:t>DCUSA Charging Objective 6 – Negatively Impacted</w:t>
            </w:r>
          </w:p>
          <w:p w14:paraId="0ED64921" w14:textId="66086D53" w:rsidR="00B12032" w:rsidRPr="00AF657C" w:rsidRDefault="00B12032" w:rsidP="00AF657C">
            <w:pPr>
              <w:spacing w:before="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r w:rsidRPr="00AF657C">
              <w:rPr>
                <w:rFonts w:asciiTheme="minorHAnsi" w:hAnsiTheme="minorHAnsi" w:cstheme="minorHAnsi"/>
                <w:szCs w:val="20"/>
              </w:rPr>
              <w:t>DCP266 creates needless complexity and makes performing adequate analysis of the models difficult. The full impacts and effects may not have been sufficiently scoped which will undoubtedly have a disproportionate impact on new entrants.</w:t>
            </w:r>
          </w:p>
        </w:tc>
      </w:tr>
      <w:tr w:rsidR="00AF657C" w14:paraId="17303458" w14:textId="77777777" w:rsidTr="00AF65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5" w:type="dxa"/>
          </w:tcPr>
          <w:p w14:paraId="5F3873C4" w14:textId="77777777" w:rsidR="00B12032" w:rsidRPr="00AF657C" w:rsidRDefault="00B12032" w:rsidP="00AF657C">
            <w:pPr>
              <w:numPr>
                <w:ilvl w:val="0"/>
                <w:numId w:val="1"/>
              </w:numPr>
              <w:spacing w:before="0" w:after="40"/>
              <w:rPr>
                <w:color w:val="FFFFFF"/>
                <w:sz w:val="24"/>
              </w:rPr>
            </w:pPr>
          </w:p>
        </w:tc>
        <w:tc>
          <w:tcPr>
            <w:tcW w:w="960" w:type="dxa"/>
          </w:tcPr>
          <w:p w14:paraId="13BE007F"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3779" w:type="dxa"/>
          </w:tcPr>
          <w:p w14:paraId="317BF9EB"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7C2F83E2"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u w:val="single"/>
              </w:rPr>
            </w:pPr>
            <w:r w:rsidRPr="00AF657C">
              <w:rPr>
                <w:rFonts w:asciiTheme="minorHAnsi" w:hAnsiTheme="minorHAnsi" w:cstheme="minorHAnsi"/>
                <w:szCs w:val="20"/>
                <w:u w:val="single"/>
              </w:rPr>
              <w:t>DCUSA Charging Objective 2 – Negatively Impacted</w:t>
            </w:r>
          </w:p>
          <w:p w14:paraId="45E37B4C"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DCP266 would negatively impact the facilitation of competition in the distribution of electricity because of several key points:</w:t>
            </w:r>
          </w:p>
          <w:p w14:paraId="42FDF8BD"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lastRenderedPageBreak/>
              <w:t>- The implementation of the change would exclude significant amounts of incentive revenues from the PCDM. This is distortionary because these revenues are allowed by Ofgem to cover the costs of, and provide a return on, the DNOs’ core business of distributing electricity;</w:t>
            </w:r>
          </w:p>
          <w:p w14:paraId="243C343E"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The impact of the change would cause volatility in the market and create an unjustified shock to charging arrangements, thereby unduly raising the financing costs of LDNOs who compete in the distribution of electricity.  Effective competition in the distribution of electricity requires a stable and predictable regulatory and charging regime, as new entrants need to establish business models and undertake sunk investments in distribution systems and IT and management systems.  DCP 266 would create undue uncertainty and make the financing of competing distribution businesses harder;</w:t>
            </w:r>
          </w:p>
          <w:p w14:paraId="34ACF03D"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The change to the methodology would allow for substantially excessive LDNO discounts to some scenarios (e.g. for LV Network Non-Domestic Non-CT end users on LDNO distribution systems within London), which would lead to DNOs being unable to compete fairly for such connections;</w:t>
            </w:r>
          </w:p>
          <w:p w14:paraId="7B25B6E4" w14:textId="19419043" w:rsidR="00AF657C"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Fonts w:asciiTheme="minorHAnsi" w:hAnsiTheme="minorHAnsi" w:cstheme="minorHAnsi"/>
                <w:szCs w:val="20"/>
              </w:rPr>
              <w:t>- Implementing the change would enable offering DNO use of system credits to DNO-connected generators that an LDNO with an EHV boundary would be unable to match.</w:t>
            </w:r>
            <w:bookmarkStart w:id="0" w:name="_GoBack"/>
            <w:bookmarkEnd w:id="0"/>
          </w:p>
        </w:tc>
        <w:tc>
          <w:tcPr>
            <w:tcW w:w="3450" w:type="dxa"/>
          </w:tcPr>
          <w:p w14:paraId="6587F35B"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lastRenderedPageBreak/>
              <w:t>Negative</w:t>
            </w:r>
          </w:p>
          <w:p w14:paraId="2B8FDA87"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u w:val="single"/>
              </w:rPr>
            </w:pPr>
            <w:r w:rsidRPr="00AF657C">
              <w:rPr>
                <w:rFonts w:asciiTheme="minorHAnsi" w:hAnsiTheme="minorHAnsi" w:cstheme="minorHAnsi"/>
                <w:szCs w:val="20"/>
                <w:u w:val="single"/>
              </w:rPr>
              <w:t>DCUSA Charging Objective 3 – Negatively Impacted</w:t>
            </w:r>
          </w:p>
          <w:p w14:paraId="48BF392B"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xml:space="preserve">The current approved methodology is a cost-based allocation of revenues between distributors who are working together to provide the all-the-way service.  It is based on a coherent </w:t>
            </w:r>
            <w:r w:rsidRPr="00AF657C">
              <w:rPr>
                <w:rFonts w:asciiTheme="minorHAnsi" w:hAnsiTheme="minorHAnsi" w:cstheme="minorHAnsi"/>
                <w:szCs w:val="20"/>
              </w:rPr>
              <w:lastRenderedPageBreak/>
              <w:t>(albeit outdated) dataset and was approved by Ofgem on that basis.</w:t>
            </w:r>
          </w:p>
          <w:p w14:paraId="6B011570"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xml:space="preserve">DCP 266 would cause cost reflectivity within the charging methodology to be negatively impacted because of several key points: </w:t>
            </w:r>
          </w:p>
          <w:p w14:paraId="23A05C54" w14:textId="77777777" w:rsidR="00B12032" w:rsidRPr="00AF657C" w:rsidRDefault="00B12032" w:rsidP="00AF657C">
            <w:pPr>
              <w:pStyle w:val="ListParagraph"/>
              <w:numPr>
                <w:ilvl w:val="0"/>
                <w:numId w:val="2"/>
              </w:numPr>
              <w:spacing w:before="0" w:after="200" w:line="276" w:lineRule="auto"/>
              <w:ind w:left="278" w:hanging="27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By cherry-picking data sources, the change would allow for recent data to be used for some items such as transmission exit charges, whilst retaining the dated dataset for other items;</w:t>
            </w:r>
          </w:p>
          <w:p w14:paraId="5A02D90E" w14:textId="4842E22A" w:rsidR="00B12032" w:rsidRPr="00AF657C" w:rsidRDefault="00B12032" w:rsidP="00AF657C">
            <w:pPr>
              <w:pStyle w:val="ListParagraph"/>
              <w:numPr>
                <w:ilvl w:val="0"/>
                <w:numId w:val="2"/>
              </w:numPr>
              <w:spacing w:before="0" w:after="200" w:line="276" w:lineRule="auto"/>
              <w:ind w:left="278" w:hanging="27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The implementation of this change would wrongly exclude certain incentive revenue amounts, that were chosen without appropriate analysis, from the Method M allocation;</w:t>
            </w:r>
          </w:p>
          <w:p w14:paraId="3A4DE66C" w14:textId="77777777" w:rsidR="00B12032" w:rsidRPr="00AF657C" w:rsidRDefault="00B12032" w:rsidP="00AF657C">
            <w:pPr>
              <w:pStyle w:val="ListParagraph"/>
              <w:numPr>
                <w:ilvl w:val="0"/>
                <w:numId w:val="2"/>
              </w:numPr>
              <w:spacing w:before="0" w:after="200" w:line="276" w:lineRule="auto"/>
              <w:ind w:left="278" w:hanging="27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DCP266 would significantly increase the range of circumstances in which the non-cost-reflective 100% cap on discount percentages needs to be applied (from 2% of tariffs to 35% of tariffs);</w:t>
            </w:r>
          </w:p>
          <w:p w14:paraId="70E62FDA" w14:textId="537FF246" w:rsidR="006E7918" w:rsidRPr="00AF657C" w:rsidRDefault="00B12032" w:rsidP="00AF657C">
            <w:pPr>
              <w:pStyle w:val="ListParagraph"/>
              <w:numPr>
                <w:ilvl w:val="0"/>
                <w:numId w:val="2"/>
              </w:numPr>
              <w:spacing w:before="0" w:after="200" w:line="276" w:lineRule="auto"/>
              <w:ind w:left="278" w:hanging="27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By applying zero charges to LDNOs in circumstances it is not cost reflective for the DNO to not receive a percentage of the charges where the DNO clearly provides a substantial, costly and valuable service (e.g. LDNO HV: LV Network Non-Domestic Non-CT in London).</w:t>
            </w:r>
          </w:p>
        </w:tc>
        <w:tc>
          <w:tcPr>
            <w:tcW w:w="2724" w:type="dxa"/>
          </w:tcPr>
          <w:p w14:paraId="179420A2"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lastRenderedPageBreak/>
              <w:t>Negative</w:t>
            </w:r>
          </w:p>
          <w:p w14:paraId="28B4966F"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u w:val="single"/>
              </w:rPr>
            </w:pPr>
            <w:r w:rsidRPr="00AF657C">
              <w:rPr>
                <w:rFonts w:asciiTheme="minorHAnsi" w:hAnsiTheme="minorHAnsi" w:cstheme="minorHAnsi"/>
                <w:szCs w:val="20"/>
                <w:u w:val="single"/>
              </w:rPr>
              <w:t>DCUSA Charging Objective 4 – Negatively Impacted</w:t>
            </w:r>
          </w:p>
          <w:p w14:paraId="32FBE0EA"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xml:space="preserve">DCP 266 would make the charging methodology for LDNOs highly sensitive to the details of end user volume forecasts for newer tariffs as well as tariffs where </w:t>
            </w:r>
            <w:r w:rsidRPr="00AF657C">
              <w:rPr>
                <w:rFonts w:asciiTheme="minorHAnsi" w:hAnsiTheme="minorHAnsi" w:cstheme="minorHAnsi"/>
                <w:szCs w:val="20"/>
              </w:rPr>
              <w:lastRenderedPageBreak/>
              <w:t xml:space="preserve">forecasting volumes is difficult; due to the level of uncertainty and sensitivity introduced, we believe it’s likely that this objective will be negatively impacted. This problem does not affect the current approved methodology in respect of LDNO discounts.  </w:t>
            </w:r>
          </w:p>
          <w:p w14:paraId="49C6B51B" w14:textId="7F73C68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p>
        </w:tc>
        <w:tc>
          <w:tcPr>
            <w:tcW w:w="845" w:type="dxa"/>
          </w:tcPr>
          <w:p w14:paraId="671EB0D6"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lastRenderedPageBreak/>
              <w:t>N/A</w:t>
            </w:r>
          </w:p>
        </w:tc>
        <w:tc>
          <w:tcPr>
            <w:tcW w:w="2952" w:type="dxa"/>
          </w:tcPr>
          <w:p w14:paraId="646FA28C" w14:textId="77777777"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29BBD045" w14:textId="77777777" w:rsidR="00B12032" w:rsidRPr="00AF657C" w:rsidRDefault="00B12032" w:rsidP="00AF657C">
            <w:pPr>
              <w:spacing w:before="0"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u w:val="single"/>
              </w:rPr>
            </w:pPr>
            <w:r w:rsidRPr="00AF657C">
              <w:rPr>
                <w:rFonts w:asciiTheme="minorHAnsi" w:hAnsiTheme="minorHAnsi" w:cstheme="minorHAnsi"/>
                <w:szCs w:val="20"/>
                <w:u w:val="single"/>
              </w:rPr>
              <w:t>DCUSA Charging Objective 6 – Negatively Impacted</w:t>
            </w:r>
          </w:p>
          <w:p w14:paraId="1F72EE64" w14:textId="2531A0C3" w:rsidR="00B12032" w:rsidRPr="00AF657C" w:rsidRDefault="00B12032" w:rsidP="00AF657C">
            <w:pPr>
              <w:spacing w:before="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Fonts w:asciiTheme="minorHAnsi" w:hAnsiTheme="minorHAnsi" w:cstheme="minorHAnsi"/>
                <w:szCs w:val="20"/>
              </w:rPr>
              <w:t xml:space="preserve">The DCP 266 consultation document, impact assessment and models are complex.  ESPE has found it difficult to analyse the data and understand the behaviour of the new </w:t>
            </w:r>
            <w:proofErr w:type="gramStart"/>
            <w:r w:rsidRPr="00AF657C">
              <w:rPr>
                <w:rFonts w:asciiTheme="minorHAnsi" w:hAnsiTheme="minorHAnsi" w:cstheme="minorHAnsi"/>
                <w:szCs w:val="20"/>
              </w:rPr>
              <w:t xml:space="preserve">models, </w:t>
            </w:r>
            <w:r w:rsidRPr="00AF657C">
              <w:rPr>
                <w:rFonts w:asciiTheme="minorHAnsi" w:hAnsiTheme="minorHAnsi" w:cstheme="minorHAnsi"/>
                <w:szCs w:val="20"/>
              </w:rPr>
              <w:lastRenderedPageBreak/>
              <w:t>and</w:t>
            </w:r>
            <w:proofErr w:type="gramEnd"/>
            <w:r w:rsidRPr="00AF657C">
              <w:rPr>
                <w:rFonts w:asciiTheme="minorHAnsi" w:hAnsiTheme="minorHAnsi" w:cstheme="minorHAnsi"/>
                <w:szCs w:val="20"/>
              </w:rPr>
              <w:t xml:space="preserve"> cannot be sure we fully understand all impacts of the proposed methodology. There might be other inefficiencies, unintended effects, or undesirable impacts, which we have not yet identified.  This complexity has a disproportionate impact on new entrant businesses.</w:t>
            </w:r>
          </w:p>
        </w:tc>
      </w:tr>
      <w:tr w:rsidR="00AF657C" w14:paraId="303C7FC2" w14:textId="77777777" w:rsidTr="00AF657C">
        <w:tc>
          <w:tcPr>
            <w:cnfStyle w:val="001000000000" w:firstRow="0" w:lastRow="0" w:firstColumn="1" w:lastColumn="0" w:oddVBand="0" w:evenVBand="0" w:oddHBand="0" w:evenHBand="0" w:firstRowFirstColumn="0" w:firstRowLastColumn="0" w:lastRowFirstColumn="0" w:lastRowLastColumn="0"/>
            <w:tcW w:w="1025" w:type="dxa"/>
          </w:tcPr>
          <w:p w14:paraId="2F54C86B" w14:textId="77777777" w:rsidR="00B12032" w:rsidRPr="00AF657C" w:rsidRDefault="00B12032" w:rsidP="00AF4252">
            <w:pPr>
              <w:numPr>
                <w:ilvl w:val="0"/>
                <w:numId w:val="1"/>
              </w:numPr>
              <w:spacing w:before="40" w:after="40"/>
              <w:rPr>
                <w:color w:val="FFFFFF"/>
                <w:sz w:val="24"/>
              </w:rPr>
            </w:pPr>
          </w:p>
        </w:tc>
        <w:tc>
          <w:tcPr>
            <w:tcW w:w="960" w:type="dxa"/>
          </w:tcPr>
          <w:p w14:paraId="62999067"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3779" w:type="dxa"/>
          </w:tcPr>
          <w:p w14:paraId="0B3A90B7"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48412143" w14:textId="77777777" w:rsidR="00B12032" w:rsidRPr="00AF657C" w:rsidRDefault="00B12032" w:rsidP="00AF657C">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 xml:space="preserve">Per Objective 2, implementation may distort or restrict competition in distribution. </w:t>
            </w:r>
          </w:p>
          <w:p w14:paraId="05A5E60E" w14:textId="77777777" w:rsidR="00B12032" w:rsidRPr="00AF657C" w:rsidRDefault="00B12032" w:rsidP="00AF657C">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By reducing the revenue available, the IDNO space will be less appealing to new entrants and reduce the ability of existing parties to seek investment and invest in new networks, making them less able to compete with the incumbent DNO.</w:t>
            </w:r>
          </w:p>
          <w:p w14:paraId="3845AFF6" w14:textId="4FF36F74" w:rsidR="00B12032" w:rsidRPr="00AF657C" w:rsidRDefault="00B12032" w:rsidP="00AF657C">
            <w:pPr>
              <w:spacing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FF0000"/>
                <w:szCs w:val="20"/>
              </w:rPr>
            </w:pPr>
            <w:r w:rsidRPr="00AF657C">
              <w:rPr>
                <w:rFonts w:asciiTheme="minorHAnsi" w:hAnsiTheme="minorHAnsi" w:cstheme="minorHAnsi"/>
                <w:szCs w:val="20"/>
              </w:rPr>
              <w:t>DNOs will continue to receive their allowed revenue whilst their smaller, less-established, competitor – the IDNO – sees their revenue decline.</w:t>
            </w:r>
          </w:p>
        </w:tc>
        <w:tc>
          <w:tcPr>
            <w:tcW w:w="3450" w:type="dxa"/>
          </w:tcPr>
          <w:p w14:paraId="647C4376"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724" w:type="dxa"/>
          </w:tcPr>
          <w:p w14:paraId="0E34F092"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845" w:type="dxa"/>
          </w:tcPr>
          <w:p w14:paraId="1FFDB754"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952" w:type="dxa"/>
          </w:tcPr>
          <w:p w14:paraId="636EE462"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r>
      <w:tr w:rsidR="00AF657C" w14:paraId="0196AEA3" w14:textId="77777777" w:rsidTr="00AF65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5" w:type="dxa"/>
          </w:tcPr>
          <w:p w14:paraId="1BFE0E7E" w14:textId="77777777" w:rsidR="00B12032" w:rsidRPr="00AF657C" w:rsidRDefault="00B12032" w:rsidP="00AF4252">
            <w:pPr>
              <w:numPr>
                <w:ilvl w:val="0"/>
                <w:numId w:val="1"/>
              </w:numPr>
              <w:spacing w:before="40" w:after="40"/>
              <w:rPr>
                <w:color w:val="FFFFFF"/>
                <w:sz w:val="24"/>
              </w:rPr>
            </w:pPr>
          </w:p>
        </w:tc>
        <w:tc>
          <w:tcPr>
            <w:tcW w:w="960" w:type="dxa"/>
          </w:tcPr>
          <w:p w14:paraId="7C7EC984"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3779" w:type="dxa"/>
          </w:tcPr>
          <w:p w14:paraId="65262FC7"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B050"/>
                <w:szCs w:val="20"/>
              </w:rPr>
            </w:pPr>
            <w:r w:rsidRPr="00AF657C">
              <w:rPr>
                <w:rStyle w:val="Strong"/>
                <w:rFonts w:asciiTheme="minorHAnsi" w:hAnsiTheme="minorHAnsi" w:cstheme="minorHAnsi"/>
                <w:color w:val="00B050"/>
                <w:szCs w:val="20"/>
              </w:rPr>
              <w:t>Positive</w:t>
            </w:r>
          </w:p>
          <w:p w14:paraId="0503C02F" w14:textId="77777777" w:rsidR="00B12032" w:rsidRPr="00AF657C" w:rsidRDefault="00B12032" w:rsidP="00AF657C">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Yes, we consider that charging objectives two and three are better facilitated by this change.</w:t>
            </w:r>
          </w:p>
          <w:p w14:paraId="2705D3AD" w14:textId="06863183"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B050"/>
                <w:szCs w:val="20"/>
              </w:rPr>
            </w:pPr>
          </w:p>
        </w:tc>
        <w:tc>
          <w:tcPr>
            <w:tcW w:w="3450" w:type="dxa"/>
          </w:tcPr>
          <w:p w14:paraId="312AF210"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B050"/>
                <w:szCs w:val="20"/>
              </w:rPr>
            </w:pPr>
            <w:r w:rsidRPr="00AF657C">
              <w:rPr>
                <w:rStyle w:val="Strong"/>
                <w:rFonts w:asciiTheme="minorHAnsi" w:hAnsiTheme="minorHAnsi" w:cstheme="minorHAnsi"/>
                <w:color w:val="00B050"/>
                <w:szCs w:val="20"/>
              </w:rPr>
              <w:t>Positive</w:t>
            </w:r>
          </w:p>
          <w:p w14:paraId="25965E1B" w14:textId="579524EE"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B050"/>
                <w:szCs w:val="20"/>
              </w:rPr>
            </w:pPr>
            <w:proofErr w:type="gramStart"/>
            <w:r w:rsidRPr="00AF657C">
              <w:rPr>
                <w:rFonts w:asciiTheme="minorHAnsi" w:hAnsiTheme="minorHAnsi" w:cstheme="minorHAnsi"/>
                <w:szCs w:val="20"/>
              </w:rPr>
              <w:t>The</w:t>
            </w:r>
            <w:proofErr w:type="gramEnd"/>
            <w:r w:rsidRPr="00AF657C">
              <w:rPr>
                <w:rFonts w:asciiTheme="minorHAnsi" w:hAnsiTheme="minorHAnsi" w:cstheme="minorHAnsi"/>
                <w:szCs w:val="20"/>
              </w:rPr>
              <w:t xml:space="preserve"> will also be a reduction in the volatility of the LDNO discounts on a p/kwh basis by aligning the discounts more closely to the all-the-way tariff, and limiting the CDCM inputs influencing the discounts to only the unit and allowed revenue forecast, thus facilitating competition.</w:t>
            </w:r>
          </w:p>
        </w:tc>
        <w:tc>
          <w:tcPr>
            <w:tcW w:w="2724" w:type="dxa"/>
          </w:tcPr>
          <w:p w14:paraId="14A4E583"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845" w:type="dxa"/>
          </w:tcPr>
          <w:p w14:paraId="150592CE"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952" w:type="dxa"/>
          </w:tcPr>
          <w:p w14:paraId="11DDB5DE"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r>
      <w:tr w:rsidR="00AF657C" w14:paraId="695B43CF" w14:textId="77777777" w:rsidTr="00AF657C">
        <w:tc>
          <w:tcPr>
            <w:cnfStyle w:val="001000000000" w:firstRow="0" w:lastRow="0" w:firstColumn="1" w:lastColumn="0" w:oddVBand="0" w:evenVBand="0" w:oddHBand="0" w:evenHBand="0" w:firstRowFirstColumn="0" w:firstRowLastColumn="0" w:lastRowFirstColumn="0" w:lastRowLastColumn="0"/>
            <w:tcW w:w="1025" w:type="dxa"/>
          </w:tcPr>
          <w:p w14:paraId="0CB66468" w14:textId="77777777" w:rsidR="00B12032" w:rsidRPr="00AF657C" w:rsidRDefault="00B12032" w:rsidP="00AF4252">
            <w:pPr>
              <w:numPr>
                <w:ilvl w:val="0"/>
                <w:numId w:val="1"/>
              </w:numPr>
              <w:spacing w:before="40" w:after="40"/>
              <w:rPr>
                <w:color w:val="FFFFFF"/>
                <w:sz w:val="24"/>
              </w:rPr>
            </w:pPr>
          </w:p>
        </w:tc>
        <w:tc>
          <w:tcPr>
            <w:tcW w:w="960" w:type="dxa"/>
          </w:tcPr>
          <w:p w14:paraId="4C369E4F"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3779" w:type="dxa"/>
          </w:tcPr>
          <w:p w14:paraId="1C3E4D0C"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B050"/>
                <w:szCs w:val="20"/>
              </w:rPr>
            </w:pPr>
            <w:r w:rsidRPr="00AF657C">
              <w:rPr>
                <w:rStyle w:val="Strong"/>
                <w:rFonts w:asciiTheme="minorHAnsi" w:hAnsiTheme="minorHAnsi" w:cstheme="minorHAnsi"/>
                <w:color w:val="00B050"/>
                <w:szCs w:val="20"/>
              </w:rPr>
              <w:t>Positive</w:t>
            </w:r>
          </w:p>
          <w:p w14:paraId="1D1E78C3" w14:textId="77777777" w:rsidR="00B12032" w:rsidRPr="00AF657C" w:rsidRDefault="00B12032" w:rsidP="00AF657C">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AF657C">
              <w:rPr>
                <w:rFonts w:asciiTheme="minorHAnsi" w:hAnsiTheme="minorHAnsi" w:cstheme="minorHAnsi"/>
                <w:szCs w:val="20"/>
              </w:rPr>
              <w:t>Yes, objective two would be better facilitated by aligning the LDNO discount received to the LDNO revenue allocation for the relevant network level.</w:t>
            </w:r>
          </w:p>
          <w:p w14:paraId="66640856" w14:textId="350B9B8B" w:rsidR="00B12032" w:rsidRPr="00AF657C" w:rsidRDefault="00B12032" w:rsidP="00AF657C">
            <w:pPr>
              <w:spacing w:before="40" w:after="40" w:line="276" w:lineRule="auto"/>
              <w:jc w:val="both"/>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B050"/>
                <w:szCs w:val="20"/>
              </w:rPr>
            </w:pPr>
            <w:proofErr w:type="gramStart"/>
            <w:r w:rsidRPr="00AF657C">
              <w:rPr>
                <w:rFonts w:asciiTheme="minorHAnsi" w:hAnsiTheme="minorHAnsi" w:cstheme="minorHAnsi"/>
                <w:szCs w:val="20"/>
              </w:rPr>
              <w:t>The</w:t>
            </w:r>
            <w:proofErr w:type="gramEnd"/>
            <w:r w:rsidRPr="00AF657C">
              <w:rPr>
                <w:rFonts w:asciiTheme="minorHAnsi" w:hAnsiTheme="minorHAnsi" w:cstheme="minorHAnsi"/>
                <w:szCs w:val="20"/>
              </w:rPr>
              <w:t xml:space="preserve"> will also be a reduction in the volatility of the LDNO discounts on a p/kwh basis by aligning the discounts more closely to the all-the-way tariff, and limiting the CDCM inputs influencing the discounts to only the </w:t>
            </w:r>
            <w:r w:rsidRPr="00AF657C">
              <w:rPr>
                <w:rFonts w:asciiTheme="minorHAnsi" w:hAnsiTheme="minorHAnsi" w:cstheme="minorHAnsi"/>
                <w:szCs w:val="20"/>
              </w:rPr>
              <w:lastRenderedPageBreak/>
              <w:t>unit and allowed revenue forecast, thus facilitating competition.</w:t>
            </w:r>
          </w:p>
        </w:tc>
        <w:tc>
          <w:tcPr>
            <w:tcW w:w="3450" w:type="dxa"/>
          </w:tcPr>
          <w:p w14:paraId="26A0C647"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lastRenderedPageBreak/>
              <w:t>N/A</w:t>
            </w:r>
          </w:p>
        </w:tc>
        <w:tc>
          <w:tcPr>
            <w:tcW w:w="2724" w:type="dxa"/>
          </w:tcPr>
          <w:p w14:paraId="00E34F03"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845" w:type="dxa"/>
          </w:tcPr>
          <w:p w14:paraId="2B5AE8ED"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952" w:type="dxa"/>
          </w:tcPr>
          <w:p w14:paraId="59A6A6D6"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r>
      <w:tr w:rsidR="00AF657C" w14:paraId="1933A6FC" w14:textId="77777777" w:rsidTr="00AF65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5" w:type="dxa"/>
          </w:tcPr>
          <w:p w14:paraId="6D45391C" w14:textId="77777777" w:rsidR="00B12032" w:rsidRPr="00AF657C" w:rsidRDefault="00B12032" w:rsidP="00AF4252">
            <w:pPr>
              <w:numPr>
                <w:ilvl w:val="0"/>
                <w:numId w:val="1"/>
              </w:numPr>
              <w:spacing w:before="40" w:after="40"/>
              <w:rPr>
                <w:color w:val="FFFFFF"/>
                <w:sz w:val="24"/>
              </w:rPr>
            </w:pPr>
            <w:r w:rsidRPr="00AF657C">
              <w:rPr>
                <w:rStyle w:val="FootnoteReference"/>
                <w:color w:val="FFFFFF"/>
                <w:sz w:val="24"/>
              </w:rPr>
              <w:footnoteReference w:id="2"/>
            </w:r>
          </w:p>
        </w:tc>
        <w:tc>
          <w:tcPr>
            <w:tcW w:w="960" w:type="dxa"/>
          </w:tcPr>
          <w:p w14:paraId="13ACCA01"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tc>
        <w:tc>
          <w:tcPr>
            <w:tcW w:w="3779" w:type="dxa"/>
          </w:tcPr>
          <w:p w14:paraId="66CE5251"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tc>
        <w:tc>
          <w:tcPr>
            <w:tcW w:w="3450" w:type="dxa"/>
          </w:tcPr>
          <w:p w14:paraId="1438D1FC"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tc>
        <w:tc>
          <w:tcPr>
            <w:tcW w:w="2724" w:type="dxa"/>
          </w:tcPr>
          <w:p w14:paraId="62DC5AE1"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tc>
        <w:tc>
          <w:tcPr>
            <w:tcW w:w="845" w:type="dxa"/>
          </w:tcPr>
          <w:p w14:paraId="3A975BA1"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B0F0"/>
                <w:szCs w:val="20"/>
              </w:rPr>
            </w:pPr>
            <w:r w:rsidRPr="00AF657C">
              <w:rPr>
                <w:rStyle w:val="Strong"/>
                <w:rFonts w:asciiTheme="minorHAnsi" w:hAnsiTheme="minorHAnsi" w:cstheme="minorHAnsi"/>
                <w:color w:val="00B0F0"/>
                <w:szCs w:val="20"/>
              </w:rPr>
              <w:t>Neutral</w:t>
            </w:r>
          </w:p>
        </w:tc>
        <w:tc>
          <w:tcPr>
            <w:tcW w:w="2952" w:type="dxa"/>
          </w:tcPr>
          <w:p w14:paraId="5BA30CEC"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tc>
      </w:tr>
      <w:tr w:rsidR="00AF657C" w14:paraId="13B479A9" w14:textId="77777777" w:rsidTr="00AF657C">
        <w:tc>
          <w:tcPr>
            <w:cnfStyle w:val="001000000000" w:firstRow="0" w:lastRow="0" w:firstColumn="1" w:lastColumn="0" w:oddVBand="0" w:evenVBand="0" w:oddHBand="0" w:evenHBand="0" w:firstRowFirstColumn="0" w:firstRowLastColumn="0" w:lastRowFirstColumn="0" w:lastRowLastColumn="0"/>
            <w:tcW w:w="1025" w:type="dxa"/>
          </w:tcPr>
          <w:p w14:paraId="6D99BE94" w14:textId="77777777" w:rsidR="00B12032" w:rsidRPr="00AF657C" w:rsidRDefault="00B12032" w:rsidP="00AF4252">
            <w:pPr>
              <w:numPr>
                <w:ilvl w:val="0"/>
                <w:numId w:val="1"/>
              </w:numPr>
              <w:spacing w:before="40" w:after="40"/>
              <w:rPr>
                <w:color w:val="FFFFFF"/>
                <w:sz w:val="24"/>
              </w:rPr>
            </w:pPr>
            <w:r w:rsidRPr="00AF657C">
              <w:rPr>
                <w:rStyle w:val="FootnoteReference"/>
                <w:color w:val="FFFFFF"/>
                <w:sz w:val="24"/>
              </w:rPr>
              <w:footnoteReference w:id="3"/>
            </w:r>
          </w:p>
        </w:tc>
        <w:tc>
          <w:tcPr>
            <w:tcW w:w="960" w:type="dxa"/>
          </w:tcPr>
          <w:p w14:paraId="3E3113F9"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w:t>
            </w:r>
          </w:p>
        </w:tc>
        <w:tc>
          <w:tcPr>
            <w:tcW w:w="3779" w:type="dxa"/>
          </w:tcPr>
          <w:p w14:paraId="7BD819FC"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w:t>
            </w:r>
          </w:p>
        </w:tc>
        <w:tc>
          <w:tcPr>
            <w:tcW w:w="3450" w:type="dxa"/>
          </w:tcPr>
          <w:p w14:paraId="2C69D348"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w:t>
            </w:r>
          </w:p>
        </w:tc>
        <w:tc>
          <w:tcPr>
            <w:tcW w:w="2724" w:type="dxa"/>
          </w:tcPr>
          <w:p w14:paraId="72DB3902"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w:t>
            </w:r>
          </w:p>
        </w:tc>
        <w:tc>
          <w:tcPr>
            <w:tcW w:w="845" w:type="dxa"/>
          </w:tcPr>
          <w:p w14:paraId="5F270958"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w:t>
            </w:r>
          </w:p>
        </w:tc>
        <w:tc>
          <w:tcPr>
            <w:tcW w:w="2952" w:type="dxa"/>
          </w:tcPr>
          <w:p w14:paraId="779E6C7A" w14:textId="77777777" w:rsidR="00B12032" w:rsidRPr="00AF657C" w:rsidRDefault="00B12032" w:rsidP="00AF657C">
            <w:pPr>
              <w:spacing w:before="40" w:after="40" w:line="276" w:lineRule="auto"/>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w:t>
            </w:r>
          </w:p>
        </w:tc>
      </w:tr>
      <w:tr w:rsidR="00AF657C" w14:paraId="3A322A13" w14:textId="77777777" w:rsidTr="00AF65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5" w:type="dxa"/>
          </w:tcPr>
          <w:p w14:paraId="0DAC0D42" w14:textId="77777777" w:rsidR="00B12032" w:rsidRPr="00AF657C" w:rsidRDefault="00B12032" w:rsidP="00AF4252">
            <w:pPr>
              <w:numPr>
                <w:ilvl w:val="0"/>
                <w:numId w:val="1"/>
              </w:numPr>
              <w:spacing w:before="40" w:after="40"/>
              <w:rPr>
                <w:color w:val="FFFFFF"/>
                <w:sz w:val="24"/>
              </w:rPr>
            </w:pPr>
          </w:p>
        </w:tc>
        <w:tc>
          <w:tcPr>
            <w:tcW w:w="960" w:type="dxa"/>
          </w:tcPr>
          <w:p w14:paraId="1C854DAF"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3779" w:type="dxa"/>
          </w:tcPr>
          <w:p w14:paraId="20BE8CE1" w14:textId="77777777" w:rsidR="00AF657C"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FF0000"/>
                <w:szCs w:val="20"/>
              </w:rPr>
            </w:pPr>
            <w:r w:rsidRPr="00AF657C">
              <w:rPr>
                <w:rStyle w:val="Strong"/>
                <w:rFonts w:asciiTheme="minorHAnsi" w:hAnsiTheme="minorHAnsi" w:cstheme="minorHAnsi"/>
                <w:color w:val="FF0000"/>
                <w:szCs w:val="20"/>
              </w:rPr>
              <w:t>Negative</w:t>
            </w:r>
          </w:p>
          <w:p w14:paraId="4101E899" w14:textId="2892BF38"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b w:val="0"/>
                <w:bCs w:val="0"/>
                <w:color w:val="FF0000"/>
                <w:szCs w:val="20"/>
              </w:rPr>
            </w:pPr>
            <w:r w:rsidRPr="00AF657C">
              <w:rPr>
                <w:rStyle w:val="Strong"/>
                <w:rFonts w:asciiTheme="minorHAnsi" w:hAnsiTheme="minorHAnsi" w:cstheme="minorHAnsi"/>
                <w:b w:val="0"/>
                <w:bCs w:val="0"/>
                <w:szCs w:val="20"/>
              </w:rPr>
              <w:t>It is our view that the proposed solution may potentially restrict competition in the distribution of electricity, and therefore DCUSA Charging Objective 2 is adversely impacted by this change.</w:t>
            </w:r>
          </w:p>
        </w:tc>
        <w:tc>
          <w:tcPr>
            <w:tcW w:w="3450" w:type="dxa"/>
          </w:tcPr>
          <w:p w14:paraId="01450E00"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724" w:type="dxa"/>
          </w:tcPr>
          <w:p w14:paraId="5136D65D"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845" w:type="dxa"/>
          </w:tcPr>
          <w:p w14:paraId="3FCA88C0"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c>
          <w:tcPr>
            <w:tcW w:w="2952" w:type="dxa"/>
          </w:tcPr>
          <w:p w14:paraId="57ED0052" w14:textId="77777777" w:rsidR="00B12032" w:rsidRPr="00AF657C" w:rsidRDefault="00B12032" w:rsidP="00AF657C">
            <w:pPr>
              <w:spacing w:before="40" w:after="40" w:line="276" w:lineRule="auto"/>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stheme="minorHAnsi"/>
                <w:color w:val="000000"/>
                <w:szCs w:val="20"/>
              </w:rPr>
            </w:pPr>
            <w:r w:rsidRPr="00AF657C">
              <w:rPr>
                <w:rStyle w:val="Strong"/>
                <w:rFonts w:asciiTheme="minorHAnsi" w:hAnsiTheme="minorHAnsi" w:cstheme="minorHAnsi"/>
                <w:color w:val="000000"/>
                <w:szCs w:val="20"/>
              </w:rPr>
              <w:t>N/A</w:t>
            </w:r>
          </w:p>
        </w:tc>
      </w:tr>
    </w:tbl>
    <w:p w14:paraId="5BCA7929" w14:textId="77777777" w:rsidR="00763B5B" w:rsidRDefault="00AF657C" w:rsidP="006E7918"/>
    <w:sectPr w:rsidR="00763B5B" w:rsidSect="006E7918">
      <w:pgSz w:w="16838" w:h="11906" w:orient="landscape"/>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2E719" w14:textId="77777777" w:rsidR="00E77AD1" w:rsidRDefault="00E77AD1" w:rsidP="00B12032">
      <w:pPr>
        <w:spacing w:before="0" w:after="0" w:line="240" w:lineRule="auto"/>
      </w:pPr>
      <w:r>
        <w:separator/>
      </w:r>
    </w:p>
  </w:endnote>
  <w:endnote w:type="continuationSeparator" w:id="0">
    <w:p w14:paraId="5A332AC4" w14:textId="77777777" w:rsidR="00E77AD1" w:rsidRDefault="00E77AD1" w:rsidP="00B1203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A1D4D" w14:textId="77777777" w:rsidR="00E77AD1" w:rsidRDefault="00E77AD1" w:rsidP="00B12032">
      <w:pPr>
        <w:spacing w:before="0" w:after="0" w:line="240" w:lineRule="auto"/>
      </w:pPr>
      <w:r>
        <w:separator/>
      </w:r>
    </w:p>
  </w:footnote>
  <w:footnote w:type="continuationSeparator" w:id="0">
    <w:p w14:paraId="15B10921" w14:textId="77777777" w:rsidR="00E77AD1" w:rsidRDefault="00E77AD1" w:rsidP="00B12032">
      <w:pPr>
        <w:spacing w:before="0" w:after="0" w:line="240" w:lineRule="auto"/>
      </w:pPr>
      <w:r>
        <w:continuationSeparator/>
      </w:r>
    </w:p>
  </w:footnote>
  <w:footnote w:id="1">
    <w:p w14:paraId="43ED4962" w14:textId="77777777" w:rsidR="00B12032" w:rsidRDefault="00B12032" w:rsidP="00B12032">
      <w:pPr>
        <w:pStyle w:val="FootnoteText"/>
      </w:pPr>
      <w:r>
        <w:rPr>
          <w:rStyle w:val="FootnoteReference"/>
        </w:rPr>
        <w:footnoteRef/>
      </w:r>
      <w:r>
        <w:t xml:space="preserve"> </w:t>
      </w:r>
      <w:r w:rsidRPr="00AF657C">
        <w:rPr>
          <w:rStyle w:val="PlaceholderText"/>
          <w:sz w:val="16"/>
          <w:szCs w:val="24"/>
        </w:rPr>
        <w:t>References to the DCUSA Charging Objectives are references to the Applicable Charging Methodology Objectives in SLC 22A (Part B) of the electricity distribution licence.</w:t>
      </w:r>
    </w:p>
  </w:footnote>
  <w:footnote w:id="2">
    <w:p w14:paraId="3184DE0A" w14:textId="77777777" w:rsidR="00B12032" w:rsidRDefault="00B12032" w:rsidP="00B12032">
      <w:pPr>
        <w:pStyle w:val="FootnoteText"/>
      </w:pPr>
      <w:r>
        <w:rPr>
          <w:rStyle w:val="FootnoteReference"/>
        </w:rPr>
        <w:footnoteRef/>
      </w:r>
      <w:r>
        <w:t xml:space="preserve"> </w:t>
      </w:r>
      <w:r w:rsidRPr="00DB7935">
        <w:rPr>
          <w:rStyle w:val="PlaceholderText"/>
          <w:sz w:val="16"/>
          <w:szCs w:val="24"/>
        </w:rPr>
        <w:t>This respondent referred to their response to the same question from the first consultation and so those responses have been used to populate this row.</w:t>
      </w:r>
    </w:p>
  </w:footnote>
  <w:footnote w:id="3">
    <w:p w14:paraId="5146F5E1" w14:textId="54DFCB9A" w:rsidR="00B12032" w:rsidRDefault="00B12032" w:rsidP="00B12032">
      <w:pPr>
        <w:pStyle w:val="FootnoteText"/>
      </w:pPr>
      <w:r>
        <w:rPr>
          <w:rStyle w:val="FootnoteReference"/>
        </w:rPr>
        <w:footnoteRef/>
      </w:r>
      <w:r>
        <w:t xml:space="preserve"> </w:t>
      </w:r>
      <w:r w:rsidRPr="00DB7935">
        <w:rPr>
          <w:rStyle w:val="PlaceholderText"/>
          <w:sz w:val="16"/>
          <w:szCs w:val="24"/>
        </w:rPr>
        <w:t xml:space="preserve">This respondent stated that they “do not believe the charging objectives are better facilitated” but did </w:t>
      </w:r>
      <w:r w:rsidR="00AF657C">
        <w:rPr>
          <w:rStyle w:val="PlaceholderText"/>
          <w:sz w:val="16"/>
          <w:szCs w:val="24"/>
        </w:rPr>
        <w:t xml:space="preserve">not </w:t>
      </w:r>
      <w:r w:rsidRPr="00DB7935">
        <w:rPr>
          <w:rStyle w:val="PlaceholderText"/>
          <w:sz w:val="16"/>
          <w:szCs w:val="24"/>
        </w:rPr>
        <w:t>specify which.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01085"/>
    <w:multiLevelType w:val="hybridMultilevel"/>
    <w:tmpl w:val="CCFC9636"/>
    <w:lvl w:ilvl="0" w:tplc="56A466D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F57A58"/>
    <w:multiLevelType w:val="hybridMultilevel"/>
    <w:tmpl w:val="91D40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4175E8"/>
    <w:multiLevelType w:val="hybridMultilevel"/>
    <w:tmpl w:val="407403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32"/>
    <w:rsid w:val="002D0717"/>
    <w:rsid w:val="006E7918"/>
    <w:rsid w:val="00912319"/>
    <w:rsid w:val="009F19F1"/>
    <w:rsid w:val="00AF4252"/>
    <w:rsid w:val="00AF657C"/>
    <w:rsid w:val="00B12032"/>
    <w:rsid w:val="00C64D9F"/>
    <w:rsid w:val="00E77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CAB8"/>
  <w15:chartTrackingRefBased/>
  <w15:docId w15:val="{4F097075-CEFB-4814-9670-970B9331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032"/>
    <w:pPr>
      <w:spacing w:before="120" w:after="120" w:line="300" w:lineRule="atLeast"/>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12032"/>
    <w:rPr>
      <w:b/>
      <w:bCs/>
    </w:rPr>
  </w:style>
  <w:style w:type="character" w:styleId="PlaceholderText">
    <w:name w:val="Placeholder Text"/>
    <w:rsid w:val="00B12032"/>
    <w:rPr>
      <w:color w:val="808080"/>
    </w:rPr>
  </w:style>
  <w:style w:type="character" w:styleId="FootnoteReference">
    <w:name w:val="footnote reference"/>
    <w:uiPriority w:val="99"/>
    <w:rsid w:val="00B12032"/>
    <w:rPr>
      <w:rFonts w:cs="Times New Roman"/>
      <w:vertAlign w:val="superscript"/>
    </w:rPr>
  </w:style>
  <w:style w:type="paragraph" w:styleId="FootnoteText">
    <w:name w:val="footnote text"/>
    <w:basedOn w:val="Normal"/>
    <w:link w:val="FootnoteTextChar"/>
    <w:uiPriority w:val="99"/>
    <w:rsid w:val="00B12032"/>
    <w:rPr>
      <w:szCs w:val="20"/>
    </w:rPr>
  </w:style>
  <w:style w:type="character" w:customStyle="1" w:styleId="FootnoteTextChar">
    <w:name w:val="Footnote Text Char"/>
    <w:basedOn w:val="DefaultParagraphFont"/>
    <w:link w:val="FootnoteText"/>
    <w:uiPriority w:val="99"/>
    <w:rsid w:val="00B12032"/>
    <w:rPr>
      <w:rFonts w:ascii="Arial" w:eastAsia="Times New Roman" w:hAnsi="Arial" w:cs="Times New Roman"/>
      <w:sz w:val="20"/>
      <w:szCs w:val="20"/>
      <w:lang w:eastAsia="en-GB"/>
    </w:rPr>
  </w:style>
  <w:style w:type="paragraph" w:styleId="BalloonText">
    <w:name w:val="Balloon Text"/>
    <w:basedOn w:val="Normal"/>
    <w:link w:val="BalloonTextChar"/>
    <w:uiPriority w:val="99"/>
    <w:semiHidden/>
    <w:unhideWhenUsed/>
    <w:rsid w:val="00B1203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032"/>
    <w:rPr>
      <w:rFonts w:ascii="Segoe UI" w:eastAsia="Times New Roman" w:hAnsi="Segoe UI" w:cs="Segoe UI"/>
      <w:sz w:val="18"/>
      <w:szCs w:val="18"/>
      <w:lang w:eastAsia="en-GB"/>
    </w:rPr>
  </w:style>
  <w:style w:type="paragraph" w:styleId="ListParagraph">
    <w:name w:val="List Paragraph"/>
    <w:basedOn w:val="Normal"/>
    <w:uiPriority w:val="34"/>
    <w:qFormat/>
    <w:rsid w:val="00B12032"/>
    <w:pPr>
      <w:ind w:left="720"/>
      <w:contextualSpacing/>
    </w:pPr>
  </w:style>
  <w:style w:type="table" w:styleId="GridTable6Colorful-Accent3">
    <w:name w:val="Grid Table 6 Colorful Accent 3"/>
    <w:basedOn w:val="TableNormal"/>
    <w:uiPriority w:val="51"/>
    <w:rsid w:val="00B12032"/>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6">
    <w:name w:val="Grid Table 5 Dark Accent 6"/>
    <w:basedOn w:val="TableNormal"/>
    <w:uiPriority w:val="50"/>
    <w:rsid w:val="00B120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Header">
    <w:name w:val="header"/>
    <w:basedOn w:val="Normal"/>
    <w:link w:val="HeaderChar"/>
    <w:uiPriority w:val="99"/>
    <w:unhideWhenUsed/>
    <w:rsid w:val="006E7918"/>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E7918"/>
    <w:rPr>
      <w:rFonts w:ascii="Arial" w:eastAsia="Times New Roman" w:hAnsi="Arial" w:cs="Times New Roman"/>
      <w:sz w:val="20"/>
      <w:szCs w:val="24"/>
      <w:lang w:eastAsia="en-GB"/>
    </w:rPr>
  </w:style>
  <w:style w:type="paragraph" w:styleId="Footer">
    <w:name w:val="footer"/>
    <w:basedOn w:val="Normal"/>
    <w:link w:val="FooterChar"/>
    <w:uiPriority w:val="99"/>
    <w:unhideWhenUsed/>
    <w:rsid w:val="006E7918"/>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E7918"/>
    <w:rPr>
      <w:rFonts w:ascii="Arial" w:eastAsia="Times New Roman"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7</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3</cp:revision>
  <dcterms:created xsi:type="dcterms:W3CDTF">2019-06-18T00:16:00Z</dcterms:created>
  <dcterms:modified xsi:type="dcterms:W3CDTF">2019-08-05T11:28:00Z</dcterms:modified>
</cp:coreProperties>
</file>